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E0CE8" w14:textId="66499BC7" w:rsidR="00A26F88" w:rsidRDefault="00A26F88" w:rsidP="00991E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6F88">
        <w:rPr>
          <w:rFonts w:ascii="Times New Roman" w:hAnsi="Times New Roman" w:cs="Times New Roman"/>
          <w:b/>
          <w:bCs/>
          <w:sz w:val="28"/>
          <w:szCs w:val="28"/>
        </w:rPr>
        <w:t>Значение мульти спиральной компьютерной томографии (</w:t>
      </w:r>
      <w:proofErr w:type="spellStart"/>
      <w:r w:rsidRPr="00A26F88">
        <w:rPr>
          <w:rFonts w:ascii="Times New Roman" w:hAnsi="Times New Roman" w:cs="Times New Roman"/>
          <w:b/>
          <w:bCs/>
          <w:sz w:val="28"/>
          <w:szCs w:val="28"/>
        </w:rPr>
        <w:t>мскт</w:t>
      </w:r>
      <w:proofErr w:type="spellEnd"/>
      <w:r w:rsidRPr="00A26F88">
        <w:rPr>
          <w:rFonts w:ascii="Times New Roman" w:hAnsi="Times New Roman" w:cs="Times New Roman"/>
          <w:b/>
          <w:bCs/>
          <w:sz w:val="28"/>
          <w:szCs w:val="28"/>
        </w:rPr>
        <w:t>) в оценке пост ковидных изменений лёгких (обзор литературы)</w:t>
      </w:r>
    </w:p>
    <w:p w14:paraId="2651262D" w14:textId="77777777" w:rsidR="00A26F88" w:rsidRDefault="00A26F88" w:rsidP="00A26F88">
      <w:pPr>
        <w:spacing w:before="100" w:beforeAutospacing="1" w:after="100" w:afterAutospacing="1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A26F88">
        <w:rPr>
          <w:rFonts w:ascii="Times New Roman" w:hAnsi="Times New Roman" w:cs="Times New Roman"/>
          <w:i/>
          <w:iCs/>
          <w:sz w:val="28"/>
          <w:szCs w:val="28"/>
        </w:rPr>
        <w:t>Рахимова У.З.,</w:t>
      </w:r>
    </w:p>
    <w:p w14:paraId="04C17582" w14:textId="743B69A7" w:rsidR="00A26F88" w:rsidRDefault="00A26F88" w:rsidP="00A26F88">
      <w:pPr>
        <w:spacing w:before="100" w:beforeAutospacing="1" w:after="100" w:afterAutospacing="1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A26F8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6F88">
        <w:rPr>
          <w:rFonts w:ascii="Times New Roman" w:hAnsi="Times New Roman" w:cs="Times New Roman"/>
          <w:i/>
          <w:iCs/>
          <w:sz w:val="28"/>
          <w:szCs w:val="28"/>
        </w:rPr>
        <w:t>Хамзаев</w:t>
      </w:r>
      <w:proofErr w:type="spellEnd"/>
      <w:r w:rsidRPr="00A26F8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26F88">
        <w:rPr>
          <w:rFonts w:ascii="Times New Roman" w:hAnsi="Times New Roman" w:cs="Times New Roman"/>
          <w:i/>
          <w:iCs/>
          <w:sz w:val="28"/>
          <w:szCs w:val="28"/>
        </w:rPr>
        <w:t>Дж.М</w:t>
      </w:r>
      <w:proofErr w:type="spellEnd"/>
      <w:r w:rsidRPr="00A26F8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C5A1EB" w14:textId="77777777" w:rsidR="00A26F88" w:rsidRPr="00A26F88" w:rsidRDefault="00A26F88" w:rsidP="00A26F88">
      <w:pPr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A26F88">
        <w:rPr>
          <w:rFonts w:ascii="Times New Roman" w:hAnsi="Times New Roman" w:cs="Times New Roman"/>
          <w:i/>
          <w:iCs/>
          <w:sz w:val="28"/>
          <w:szCs w:val="28"/>
        </w:rPr>
        <w:t>Самаркандский филиал Республиканского научного центра экстренной медицинской помощи (РНЦЭМП), Самарканд, Узбекистан</w:t>
      </w:r>
    </w:p>
    <w:p w14:paraId="0D21ABDF" w14:textId="77777777" w:rsidR="00A26F88" w:rsidRPr="00A26F88" w:rsidRDefault="00A26F88" w:rsidP="00A26F88">
      <w:pPr>
        <w:pStyle w:val="1"/>
        <w:spacing w:before="220" w:after="100" w:line="360" w:lineRule="auto"/>
        <w:rPr>
          <w:rFonts w:ascii="Times New Roman" w:hAnsi="Times New Roman" w:cs="Times New Roman"/>
        </w:rPr>
      </w:pPr>
      <w:r w:rsidRPr="00A26F88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7340DA9C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Перенесённая инфекция COVID-19 у значительной части пациентов сопровождается остаточными структурными изменениями лёгочной паренхимы, сохраняющимися в течение многих месяцев после выздоровления.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Мультиспиральная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компьютерная томография (МСКТ) с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тонкосрезовой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реконструкцией высокого разрешения является ведущим методом визуализации для выявления, характеристики и динамического наблюдения этих изменений. В обзоре обобщены современные данные литературы о спектре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постковидных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лёгких на МСКТ (участки «матового стекла», ретикулярные изменения, паренхиматозные тяжи,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тракционные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бронхоэктазы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фиброзоподобные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изменения), их эволюции во времени и обратимости, а также о роли полуколичественной оценки тяжести поражения в прогнозировании исходов. Подчёркивается значение МСКТ в выявлении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постковидного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лёгочного фиброза, отборе пациентов для динамического наблюдения и в оценке кандидатов на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антифибротическую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терапию.</w:t>
      </w:r>
    </w:p>
    <w:p w14:paraId="1A0F7DAC" w14:textId="77777777" w:rsidR="00A26F88" w:rsidRPr="00A26F88" w:rsidRDefault="00A26F88" w:rsidP="00A26F88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Ключевые слова: </w:t>
      </w:r>
      <w:r w:rsidRPr="00A26F8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COVID-19; </w:t>
      </w:r>
      <w:proofErr w:type="spellStart"/>
      <w:r w:rsidRPr="00A26F8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постковидный</w:t>
      </w:r>
      <w:proofErr w:type="spellEnd"/>
      <w:r w:rsidRPr="00A26F8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синдром; </w:t>
      </w:r>
      <w:proofErr w:type="spellStart"/>
      <w:r w:rsidRPr="00A26F8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мультиспиральная</w:t>
      </w:r>
      <w:proofErr w:type="spellEnd"/>
      <w:r w:rsidRPr="00A26F8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компьютерная томография; лёгочный фиброз; «матовое стекло»; </w:t>
      </w:r>
      <w:proofErr w:type="spellStart"/>
      <w:r w:rsidRPr="00A26F8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фиброзоподобные</w:t>
      </w:r>
      <w:proofErr w:type="spellEnd"/>
      <w:r w:rsidRPr="00A26F8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изменения; динамическое наблюдение.</w:t>
      </w:r>
    </w:p>
    <w:p w14:paraId="5F54F1A5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Введение</w:t>
      </w:r>
    </w:p>
    <w:p w14:paraId="58C72FB1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Пандемия COVID-19, вызванная вирусом SARS-CoV-2, затронула сотни миллионов человек во всём мире. По мере увеличения числа выздоровевших на первый план вышла проблема отдалённых последствий заболевания — так называемого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постковидного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синдрома, при котором у пациентов сохраняются респираторные симптомы (одышка при нагрузке, кашель, снижение толерантности к физической нагрузке) и структурные изменения лёгких [1, 16].</w:t>
      </w:r>
    </w:p>
    <w:p w14:paraId="6C7D7097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Компьютерная томография органов грудной клетки заняла центральное место в диагностике COVID-19 уже в острой фазе заболевания, а в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постковидном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периоде стала основным инструментом оценки остаточных изменений лёгочной паренхимы.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Мультиспиральная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мультидетекторная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компьютерная томография благодаря возможности быстрого объёмного сканирования и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тонкосрезовой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реконструкции высокого разрешения позволяет детально визуализировать интерстициальные и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фиброзоподобные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изменения, недоступные для обычной рентгенографии [16].</w:t>
      </w:r>
    </w:p>
    <w:p w14:paraId="23554226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настоящего обзора — обобщить современные данные литературы о значении МСКТ в оценке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постковидных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лёгких: о спектре выявляемых изменений, их динамике и обратимости, о роли полуколичественной оценки тяжести поражения, а также о клиническом значении метода для динамического наблюдения и выбора тактики ведения пациентов.</w:t>
      </w:r>
    </w:p>
    <w:p w14:paraId="18D777DC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 xml:space="preserve">1. Технические аспекты и роль МСКТ в </w:t>
      </w:r>
      <w:proofErr w:type="spellStart"/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постковидном</w:t>
      </w:r>
      <w:proofErr w:type="spellEnd"/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 xml:space="preserve"> периоде</w:t>
      </w:r>
    </w:p>
    <w:p w14:paraId="1D1DF469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МСКТ обеспечивает быстрое объёмное сканирование всей грудной клетки за один задержанный вдох с субмиллиметровой коллимацией. Реконструкция тонких срезов (около 1 мм) с применением высокочастотного (лёгочного) алгоритма обеспечивает разрешение, эквивалентное </w:t>
      </w: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компьютерной томографии высокого разрешения (ВРКТ), что критически важно для оценки тонких интерстициальных изменений [12, 17]. В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постковидном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периоде исследование, как правило, выполняется без внутривенного контрастирования; при подозрении на тромбоэмболию лёгочной артерии применяется КТ-ангиография.</w:t>
      </w:r>
    </w:p>
    <w:p w14:paraId="2136308B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необходимости повторных исследований для динамического наблюдения важное значение приобретают протоколы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низкодозовой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КТ, позволяющие снизить лучевую нагрузку при сохранении диагностической ценности. Стандартизованная оценка изменений двумя независимыми рентгенологами с разрешением разногласий путём консенсуса повышает воспроизводимость результатов [11].</w:t>
      </w:r>
    </w:p>
    <w:p w14:paraId="36F11A84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 xml:space="preserve">2. Спектр </w:t>
      </w:r>
      <w:proofErr w:type="spellStart"/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постковидных</w:t>
      </w:r>
      <w:proofErr w:type="spellEnd"/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 xml:space="preserve"> изменений лёгких на МСКТ</w:t>
      </w:r>
    </w:p>
    <w:p w14:paraId="5A930182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частым остаточным изменением лёгких после перенесённого COVID-19 являются участки «матового стекла» (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ground-glass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opacity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GGO). По данным наблюдения за выздоровевшими пациентами при сроке наблюдения ≥3 месяцев остаточные изменения сохранялись приблизительно у 43% обследованных, причём преобладали именно участки «матового стекла», за которыми следовали паренхиматозные тяжи, смешанный паттерн,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бронхоэктазы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утолщение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междольковых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перегородок [1].</w:t>
      </w:r>
    </w:p>
    <w:p w14:paraId="54ADC3F9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«матового стекла» спектр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постковидных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включает ретикулярные изменения,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субплевральные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паренхиматозные тяжи,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тракционные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бронхоэктазы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утолщение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междольковых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перегородок, остаточные консолидации, паттерн «булыжной мостовой» (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crazy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paving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и, в части случаев, признаки фиброза вплоть до формирования «сотового лёгкого». В одном из исследований с оценкой ВРКТ-паттернов распределения фиброза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субплевральные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тяжи встречались у 67%, паттерн «булыжной мостовой» — у 26%, а «сотовое лёгкое» — у 21% пациентов [5].</w:t>
      </w:r>
    </w:p>
    <w:p w14:paraId="294408F1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3. Динамика и обратимость изменений во времени</w:t>
      </w:r>
    </w:p>
    <w:p w14:paraId="3217C517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лёгких характеризуются разнонаправленной динамикой. Систематический обзор и метаанализ, охвативший наблюдения вплоть до двух лет после инфекции, показал, что значимые изменения на КТ сохраняются в течение многих месяцев, особенно у пациентов, перенёсших тяжёлую форму заболевания. При этом со временем частота выявления «матового стекла» снижается, тогда как частота «сотового лёгкого» имеет тенденцию к увеличению;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фиброзоподобные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остаются относительно стабильными [2].</w:t>
      </w:r>
    </w:p>
    <w:p w14:paraId="54F0DE64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длительного наблюдения, проведённого в течение двух лет, у части пациентов сохранялись изменения на КТ, ассоциированные с респираторными симптомами и нарушением функции лёгких; авторы предположили, что выявленные фиброзные изменения могут представлять собой стабильное, потенциально необратимое состояние [3]. В то же время в ряде наблюдений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фиброзоподобные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изменения, выявленные в первые месяцы, в дальнейшем полностью регрессировали в течение 6–9 месяцев, что указывает на их связь с обратимой реакцией по типу организующейся пневмонии, а не с истинным фиброзом [9].</w:t>
      </w:r>
    </w:p>
    <w:p w14:paraId="379096C4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 xml:space="preserve">4. </w:t>
      </w:r>
      <w:proofErr w:type="spellStart"/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Постковидный</w:t>
      </w:r>
      <w:proofErr w:type="spellEnd"/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 xml:space="preserve"> лёгочный фиброз</w:t>
      </w:r>
    </w:p>
    <w:p w14:paraId="40F4C162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Постковидный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лёгочный фиброз рассматривается как формирующаяся клиническая единица и определяется как наличие фиброзных изменений на ВРКТ в сочетании со снижением показателей функции внешнего дыхания после перенесённой инфекции SARS-CoV-2 [8, 10]. Сообщаемая частота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постковидного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фиброза варьирует в широких пределах — по разным оценкам от 5 до 75%, что отражает различия в популяциях пациентов, тяжести заболевания и сроках наблюдения [2].</w:t>
      </w:r>
    </w:p>
    <w:p w14:paraId="08ABA0D3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Ключевыми факторами риска развития фиброзных изменений являются тяжесть острого заболевания, потребность в искусственной вентиляции лёгких, пожилой возраст, мужской пол и сопутствующие заболевания. В одном из исследований фиброзные изменения на ВРКТ выявлялись у 72% пациентов, нуждавшихся в механической вентиляции, против 20% у пациентов без неё [7]. По другим данным, фиброзные изменения на момент выписки определялись более чем у 84% пациентов со среднетяжёлым и тяжёлым течением [8].</w:t>
      </w:r>
    </w:p>
    <w:p w14:paraId="3B45786C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Постковидный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фиброз имеет ряд клинических, патологических и иммунологических черт, сходных с идиопатическим лёгочным фиброзом, что обусловливает интерес к применению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антифибротических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препаратов и определяет необходимость осторожности при трактовке ранних изменений как необратимого фиброза [6].</w:t>
      </w:r>
    </w:p>
    <w:p w14:paraId="7329A2CB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5. Полуколичественная оценка тяжести поражения и прогнозирование</w:t>
      </w:r>
    </w:p>
    <w:p w14:paraId="1F57449A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Полуколичественная оценка объёма поражения лёгких с помощью шкалы тяжести по данным КТ (CT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severity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score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широко используется как для оценки острой фазы, так и для прогнозирования отдалённых исходов. Показано, что более высокий балл тяжести в острой фазе достоверно ассоциирован с развитием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постковидного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синдрома: в одном из исследований пороговое значение балла &gt;7 обладало высокой чувствительностью и специфичностью (около 96%) в прогнозировании развития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постковидной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симптоматики [11].</w:t>
      </w:r>
    </w:p>
    <w:p w14:paraId="71EF8F59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Анализ изображений, полученных в период от трёх месяцев и более после установления диагноза, подтверждает связь возраста, балла тяжести по КТ и потребности в интенсивной терапии с выраженностью остаточных изменений; наиболее частыми находками остаются «матовое стекло», ретикулярные изменения и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тракционные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бронхоэктазы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, частота которых увеличивается с возрастом и со временем [16]. Исходная оценка тяжести поражения по КТ рассматривается как полезный предиктор последующего фиброза [9].</w:t>
      </w:r>
    </w:p>
    <w:p w14:paraId="0E5B4D82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6. Корреляция данных МСКТ с функцией лёгких и клиническими проявлениями</w:t>
      </w:r>
    </w:p>
    <w:p w14:paraId="5FB93796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МСКТ тесно связаны с функциональным состоянием лёгких. Снижение диффузионной способности лёгких (DLCO), зависящее от тяжести перенесённого заболевания, ассоциировано с наличием «матового стекла» и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фиброзоподобных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на ВРКТ, а также с вентиляционными нарушениями; при этом у части пациентов отмечается спонтанное восстановление функции к промежуточному сроку наблюдения [10]. Наличие остаточных изменений на КТ повышает вероятность сохранения респираторных симптомов и функциональных нарушений [3].</w:t>
      </w:r>
    </w:p>
    <w:p w14:paraId="5F965AA5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7. Клиническое значение и динамическое наблюдение</w:t>
      </w:r>
    </w:p>
    <w:p w14:paraId="26204E06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МСКТ играет ключевую роль в формировании программ динамического наблюдения за пациентами, перенёсшими COVID-19. Выявление остаточных изменений и признаков фиброза позволяет выделить группу риска неблагоприятного течения, требующую длительного мониторинга. Ряд экспертов рекомендует повторное КТ-исследование через 12 недель после выписки у пациентов с сохраняющимися симптомами для разграничения обратимых изменений и формирующегося фиброза [6].</w:t>
      </w:r>
    </w:p>
    <w:p w14:paraId="405E0D1A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Раннее выявление фиброзных изменений с помощью МСКТ имеет практическое значение для своевременного начала терапии, включая обсуждение целесообразности применения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антифибротических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препаратов у отдельных пациентов. Таким образом, метод обеспечивает не только диагностику, но и прогностическую оценку, а также мониторинг эффективности лечения [5, 8].</w:t>
      </w:r>
    </w:p>
    <w:p w14:paraId="73297EE0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Заключение</w:t>
      </w:r>
    </w:p>
    <w:p w14:paraId="19F54ED0" w14:textId="77777777" w:rsidR="00A26F88" w:rsidRPr="00A26F88" w:rsidRDefault="00A26F88" w:rsidP="00A26F88">
      <w:pPr>
        <w:spacing w:after="12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Мультиспиральная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компьютерная томография является ведущим методом оценки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постковидных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лёгких, обеспечивая детальную характеристику спектра остаточных изменений, оценку их динамики и выявление признаков фиброза. Остаточные изменения — прежде всего «матовое стекло» и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фиброзоподобные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— сохраняются у значительной части пациентов в течение многих месяцев и лет, особенно после тяжёлого течения заболевания, тогда как часть изменений носит обратимый характер. Полуколичественная оценка тяжести поражения по данным КТ обладает прогностической ценностью. Систематическое применение МСКТ в </w:t>
      </w:r>
      <w:proofErr w:type="spellStart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постковидном</w:t>
      </w:r>
      <w:proofErr w:type="spellEnd"/>
      <w:r w:rsidRPr="00A2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периоде позволяет выделять пациентов группы риска, оптимизировать динамическое наблюдение и обоснованно подходить к выбору тактики ведения и терапии.</w:t>
      </w:r>
    </w:p>
    <w:p w14:paraId="72DD49B7" w14:textId="77777777" w:rsidR="00A26F88" w:rsidRPr="00A26F88" w:rsidRDefault="00A26F88" w:rsidP="00A26F88">
      <w:pPr>
        <w:spacing w:before="220" w:after="100" w:line="360" w:lineRule="auto"/>
        <w:outlineLvl w:val="0"/>
        <w:rPr>
          <w:rFonts w:ascii="Times New Roman" w:eastAsia="Times New Roman" w:hAnsi="Times New Roman" w:cs="Times New Roman"/>
          <w:color w:val="2E74B5"/>
          <w:sz w:val="32"/>
          <w:szCs w:val="32"/>
          <w:lang w:eastAsia="ru-RU"/>
        </w:rPr>
      </w:pPr>
      <w:r w:rsidRPr="00A26F88">
        <w:rPr>
          <w:rFonts w:ascii="Times New Roman" w:eastAsia="Times New Roman" w:hAnsi="Times New Roman" w:cs="Times New Roman"/>
          <w:b/>
          <w:bCs/>
          <w:color w:val="2E74B5"/>
          <w:sz w:val="28"/>
          <w:szCs w:val="28"/>
          <w:lang w:eastAsia="ru-RU"/>
        </w:rPr>
        <w:t>Список литературы</w:t>
      </w:r>
    </w:p>
    <w:p w14:paraId="2E61EE9D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Parry AH, Wani AH, Shah NN, Jehangir M. Medium-term chest computed tomography (CT) follow-up of COVID-19 pneumonia patients after recovery to assess the rate of resolution and determine the potential predictors of persistent lung changes. Egypt J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Radiol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Nucl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Med. </w:t>
      </w:r>
      <w:proofErr w:type="gram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2021;52:55</w:t>
      </w:r>
      <w:proofErr w:type="gram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doi:10.1186/s43055-021-00434-z.</w:t>
      </w:r>
    </w:p>
    <w:p w14:paraId="7E0BBDB2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Watanabe A, So M,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Iwagami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M, et al. Short- and Long-Term Chest-CT Findings after Recovery from COVID-19: A Systematic Review and Meta-Analysis. Diagnostics (Basel). 2024;14(6):621. doi:10.3390/diagnostics14060621.</w:t>
      </w:r>
    </w:p>
    <w:p w14:paraId="23794C81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Han X, Fan Y,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Alwalid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O, et al. Longitudinal Assessment of Chest CT Findings and Pulmonary Function in Patients after COVID-19. Radiology. 2023;307(2</w:t>
      </w:r>
      <w:proofErr w:type="gram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):e</w:t>
      </w:r>
      <w:proofErr w:type="gram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222888. doi:10.1148/radiol.222888.</w:t>
      </w:r>
    </w:p>
    <w:p w14:paraId="7F78A7A2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So M,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Kabata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H, et al. CT Lung Abnormalities after COVID-19 at 3 Months and 1 Year after Hospital Discharge. Radiology. 2021;301(3</w:t>
      </w:r>
      <w:proofErr w:type="gram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):E</w:t>
      </w:r>
      <w:proofErr w:type="gram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489–E496. doi:10.1148/radiol.2021211746.</w:t>
      </w:r>
    </w:p>
    <w:p w14:paraId="52C3E996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Hossain MF, et al. Early Prediction and HRCT Evaluation of Post Covid-19 Related Lung Fibrosis. (PMC10445642).</w:t>
      </w:r>
    </w:p>
    <w:p w14:paraId="40E50386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Cano-Jiménez E, et al. Idiopathic Pulmonary Fibrosis and Post-COVID-19 Lung Fibrosis: Links and Risks. (PMC10146995).</w:t>
      </w:r>
    </w:p>
    <w:p w14:paraId="2CC4F1F7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Post-COVID-19 pulmonary fibrosis: An ongoing concern. Ann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Thorac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Med. (Ann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Thorac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Med,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ovid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14:paraId="1A8352BF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Post-COVID pulmonary sequelae: Mechanisms and potential targets to reduce persistent fibrosis.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Pharmacol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Ther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2025. </w:t>
      </w:r>
      <w:proofErr w:type="gram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doi:10.1016/j.pharmthera</w:t>
      </w:r>
      <w:proofErr w:type="gram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(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ScienceDirect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S0163725825001032).</w:t>
      </w:r>
    </w:p>
    <w:p w14:paraId="3B0A1DD6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Marvisi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M, et al. Evolution of COVID-19 Pulmonary Fibrosis-Like Residual Changes Over Time — Longitudinal Chest CT up to 9 Months After Disease Onset: </w:t>
      </w:r>
      <w:proofErr w:type="gram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gram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Single-Center Case Series. (PubMed 35194572).</w:t>
      </w:r>
    </w:p>
    <w:p w14:paraId="0E277A47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Relation of pulmonary diffusing capacity changes to HRCT chest and V/Q SPECT findings at short-term and intermediate follow-up after COVID-19 (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SECURe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study). </w:t>
      </w:r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(PMC12860846).</w:t>
      </w:r>
    </w:p>
    <w:p w14:paraId="1B8ABFF9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Semi-quantitative CT severity scoring as a predictor of development of post-COVID syndrome.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Egypt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J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Radiol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Nucl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Med</w:t>
      </w:r>
      <w:proofErr w:type="spellEnd"/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. 2021. (PMC8050512).</w:t>
      </w:r>
    </w:p>
    <w:p w14:paraId="34F3868E" w14:textId="77777777" w:rsidR="00A26F88" w:rsidRPr="00A26F88" w:rsidRDefault="00A26F88" w:rsidP="00A26F88">
      <w:pPr>
        <w:numPr>
          <w:ilvl w:val="0"/>
          <w:numId w:val="17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Long-Term Effects of COVID-19: Analysis of Imaging Findings in Patients Evaluated by Computed Tomography from 2020 to 2024. </w:t>
      </w:r>
      <w:r w:rsidRPr="00A26F88">
        <w:rPr>
          <w:rFonts w:ascii="Times New Roman" w:eastAsia="Times New Roman" w:hAnsi="Times New Roman" w:cs="Times New Roman"/>
          <w:sz w:val="24"/>
          <w:szCs w:val="24"/>
          <w:lang w:eastAsia="ru-RU"/>
        </w:rPr>
        <w:t>(PMC12115870).</w:t>
      </w:r>
    </w:p>
    <w:p w14:paraId="6A96AF73" w14:textId="6C710994" w:rsidR="00E62760" w:rsidRPr="00BA67A3" w:rsidRDefault="00E62760" w:rsidP="00A26F88">
      <w:pPr>
        <w:spacing w:before="100" w:beforeAutospacing="1" w:after="100" w:afterAutospacing="1" w:line="360" w:lineRule="auto"/>
        <w:rPr>
          <w:lang w:val="en-US"/>
        </w:rPr>
      </w:pPr>
    </w:p>
    <w:sectPr w:rsidR="00E62760" w:rsidRPr="00BA67A3" w:rsidSect="00A26F8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4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1C1EB" w14:textId="77777777" w:rsidR="0055623B" w:rsidRDefault="0055623B" w:rsidP="00AC611F">
      <w:pPr>
        <w:spacing w:after="0" w:line="240" w:lineRule="auto"/>
      </w:pPr>
      <w:r>
        <w:separator/>
      </w:r>
    </w:p>
  </w:endnote>
  <w:endnote w:type="continuationSeparator" w:id="0">
    <w:p w14:paraId="23E738C1" w14:textId="77777777" w:rsidR="0055623B" w:rsidRDefault="0055623B" w:rsidP="00AC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B8C9" w14:textId="10C54252" w:rsidR="00AC611F" w:rsidRDefault="004B3599" w:rsidP="00AC611F">
    <w:pPr>
      <w:pStyle w:val="a5"/>
      <w:jc w:val="center"/>
      <w:rPr>
        <w:rFonts w:ascii="Arial Black" w:hAnsi="Arial Black"/>
        <w:color w:val="FFC000" w:themeColor="accent4"/>
        <w:sz w:val="28"/>
        <w:szCs w:val="28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</w:pPr>
    <w:r>
      <w:rPr>
        <w:rFonts w:ascii="Arial Black" w:hAnsi="Arial Black"/>
        <w:b/>
        <w:bCs/>
        <w:noProof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1B38D8" wp14:editId="2EC0B3B5">
              <wp:simplePos x="0" y="0"/>
              <wp:positionH relativeFrom="column">
                <wp:posOffset>0</wp:posOffset>
              </wp:positionH>
              <wp:positionV relativeFrom="paragraph">
                <wp:posOffset>251900</wp:posOffset>
              </wp:positionV>
              <wp:extent cx="5736492" cy="0"/>
              <wp:effectExtent l="0" t="0" r="0" b="0"/>
              <wp:wrapNone/>
              <wp:docPr id="9" name="Прямая соединительная линия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6492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B77AEB" id="Прямая соединительная линия 9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9.85pt" to="451.7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" strokecolor="#ed7d31 [3205]" strokeweight="1.5pt">
              <v:stroke joinstyle="miter"/>
            </v:line>
          </w:pict>
        </mc:Fallback>
      </mc:AlternateContent>
    </w:r>
    <w:r w:rsidR="00AC611F" w:rsidRPr="00A46EB0">
      <w:rPr>
        <w:rFonts w:ascii="Open Sans ExtraBold" w:hAnsi="Open Sans ExtraBold" w:cs="Open Sans ExtraBold"/>
        <w:noProof/>
        <w:color w:val="FFC000" w:themeColor="accent4"/>
        <w:sz w:val="28"/>
        <w:szCs w:val="28"/>
        <w:lang w:eastAsia="ru-RU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drawing>
        <wp:anchor distT="0" distB="0" distL="0" distR="0" simplePos="0" relativeHeight="251665408" behindDoc="1" locked="0" layoutInCell="1" allowOverlap="1" wp14:anchorId="3C2905A8" wp14:editId="201B086C">
          <wp:simplePos x="0" y="0"/>
          <wp:positionH relativeFrom="page">
            <wp:posOffset>5479694</wp:posOffset>
          </wp:positionH>
          <wp:positionV relativeFrom="margin">
            <wp:posOffset>6025006</wp:posOffset>
          </wp:positionV>
          <wp:extent cx="2267585" cy="3090545"/>
          <wp:effectExtent l="0" t="0" r="0" b="0"/>
          <wp:wrapNone/>
          <wp:docPr id="7" name="Shap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box 8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267585" cy="309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611F" w:rsidRPr="00A46EB0">
      <w:rPr>
        <w:rFonts w:ascii="Open Sans ExtraBold" w:hAnsi="Open Sans ExtraBold" w:cs="Open Sans ExtraBold"/>
        <w:noProof/>
        <w:color w:val="FFC000" w:themeColor="accent4"/>
        <w:sz w:val="28"/>
        <w:szCs w:val="28"/>
        <w:lang w:eastAsia="ru-RU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drawing>
        <wp:anchor distT="0" distB="0" distL="0" distR="0" simplePos="0" relativeHeight="251663360" behindDoc="1" locked="0" layoutInCell="1" allowOverlap="1" wp14:anchorId="23524585" wp14:editId="41989DD4">
          <wp:simplePos x="0" y="0"/>
          <wp:positionH relativeFrom="page">
            <wp:posOffset>20097</wp:posOffset>
          </wp:positionH>
          <wp:positionV relativeFrom="margin">
            <wp:posOffset>7943229</wp:posOffset>
          </wp:positionV>
          <wp:extent cx="3224530" cy="1182370"/>
          <wp:effectExtent l="0" t="0" r="0" b="0"/>
          <wp:wrapNone/>
          <wp:docPr id="5" name="Shap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box 6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3224530" cy="1182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C611F" w:rsidRPr="00A46EB0">
      <w:rPr>
        <w:rFonts w:ascii="Open Sans ExtraBold" w:hAnsi="Open Sans ExtraBold" w:cs="Open Sans ExtraBold"/>
        <w:color w:val="FFC000" w:themeColor="accent4"/>
        <w:sz w:val="28"/>
        <w:szCs w:val="28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>V</w:t>
    </w:r>
    <w:r w:rsidR="00AC611F" w:rsidRPr="00A46EB0">
      <w:rPr>
        <w:rFonts w:ascii="Arial Black" w:hAnsi="Arial Black"/>
        <w:color w:val="FFC000" w:themeColor="accent4"/>
        <w:sz w:val="28"/>
        <w:szCs w:val="28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 xml:space="preserve">OLUME </w:t>
    </w:r>
    <w:r w:rsidR="00BF028D">
      <w:rPr>
        <w:rFonts w:ascii="Arial Black" w:hAnsi="Arial Black"/>
        <w:color w:val="FFC000" w:themeColor="accent4"/>
        <w:sz w:val="28"/>
        <w:szCs w:val="28"/>
        <w:lang w:val="en-US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>3</w:t>
    </w:r>
    <w:r w:rsidR="00AC611F" w:rsidRPr="00A46EB0">
      <w:rPr>
        <w:rFonts w:ascii="Arial Black" w:hAnsi="Arial Black"/>
        <w:color w:val="FFC000" w:themeColor="accent4"/>
        <w:sz w:val="28"/>
        <w:szCs w:val="28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 xml:space="preserve"> </w:t>
    </w:r>
    <w:r w:rsidR="00BF028D">
      <w:rPr>
        <w:rFonts w:ascii="Arial Black" w:hAnsi="Arial Black"/>
        <w:color w:val="FFC000" w:themeColor="accent4"/>
        <w:sz w:val="28"/>
        <w:szCs w:val="28"/>
        <w:lang w:val="en-US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>I</w:t>
    </w:r>
    <w:r w:rsidR="00AC611F" w:rsidRPr="00A46EB0">
      <w:rPr>
        <w:rFonts w:ascii="Arial Black" w:hAnsi="Arial Black"/>
        <w:color w:val="FFC000" w:themeColor="accent4"/>
        <w:sz w:val="28"/>
        <w:szCs w:val="28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>SSUE 2 (202</w:t>
    </w:r>
    <w:r w:rsidR="00BF028D">
      <w:rPr>
        <w:rFonts w:ascii="Arial Black" w:hAnsi="Arial Black"/>
        <w:color w:val="FFC000" w:themeColor="accent4"/>
        <w:sz w:val="28"/>
        <w:szCs w:val="28"/>
        <w:lang w:val="en-US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>6</w:t>
    </w:r>
    <w:r w:rsidR="00AC611F" w:rsidRPr="00A46EB0">
      <w:rPr>
        <w:rFonts w:ascii="Arial Black" w:hAnsi="Arial Black"/>
        <w:color w:val="FFC000" w:themeColor="accent4"/>
        <w:sz w:val="28"/>
        <w:szCs w:val="28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>)</w:t>
    </w:r>
  </w:p>
  <w:p w14:paraId="588D6E0B" w14:textId="3870B6FF" w:rsidR="006B451B" w:rsidRPr="006B451B" w:rsidRDefault="006B451B" w:rsidP="00AC611F">
    <w:pPr>
      <w:pStyle w:val="a5"/>
      <w:jc w:val="center"/>
      <w:rPr>
        <w:rFonts w:ascii="Arial Black" w:hAnsi="Arial Black"/>
        <w:sz w:val="18"/>
        <w:szCs w:val="18"/>
      </w:rPr>
    </w:pPr>
    <w:r w:rsidRPr="006B451B">
      <w:rPr>
        <w:rFonts w:ascii="Arial Black" w:hAnsi="Arial Black"/>
        <w:sz w:val="18"/>
        <w:szCs w:val="18"/>
      </w:rPr>
      <w:t>http://thecon.ru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466D0" w14:textId="77777777" w:rsidR="0055623B" w:rsidRDefault="0055623B" w:rsidP="00AC611F">
      <w:pPr>
        <w:spacing w:after="0" w:line="240" w:lineRule="auto"/>
      </w:pPr>
      <w:r>
        <w:separator/>
      </w:r>
    </w:p>
  </w:footnote>
  <w:footnote w:type="continuationSeparator" w:id="0">
    <w:p w14:paraId="492B886C" w14:textId="77777777" w:rsidR="0055623B" w:rsidRDefault="0055623B" w:rsidP="00AC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B8F3B" w14:textId="77F7971B" w:rsidR="00AC611F" w:rsidRPr="00A46EB0" w:rsidRDefault="006B451B" w:rsidP="00AC611F">
    <w:pPr>
      <w:pStyle w:val="a3"/>
      <w:jc w:val="center"/>
      <w:rPr>
        <w:rFonts w:ascii="Arial Black" w:hAnsi="Arial Black"/>
        <w:b/>
        <w:bCs/>
        <w:color w:val="FFC000" w:themeColor="accent4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</w:pPr>
    <w:r>
      <w:rPr>
        <w:rFonts w:ascii="Arial Black" w:hAnsi="Arial Black"/>
        <w:b/>
        <w:bCs/>
        <w:noProof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06CD22E" wp14:editId="1D70D312">
              <wp:simplePos x="0" y="0"/>
              <wp:positionH relativeFrom="column">
                <wp:posOffset>236855</wp:posOffset>
              </wp:positionH>
              <wp:positionV relativeFrom="paragraph">
                <wp:posOffset>306810</wp:posOffset>
              </wp:positionV>
              <wp:extent cx="5442439" cy="0"/>
              <wp:effectExtent l="0" t="0" r="0" b="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2439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F325E7" id="Прямая соединительная линия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65pt,24.15pt" to="447.2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" strokecolor="#ed7d31 [3205]" strokeweight="1.5pt">
              <v:stroke joinstyle="miter"/>
            </v:line>
          </w:pict>
        </mc:Fallback>
      </mc:AlternateContent>
    </w:r>
    <w:sdt>
      <w:sdtPr>
        <w:rPr>
          <w:rFonts w:ascii="Arial Black" w:hAnsi="Arial Black"/>
          <w:b/>
          <w:bCs/>
          <w:sz w:val="32"/>
          <w:szCs w:val="32"/>
        </w:rPr>
        <w:id w:val="-327760379"/>
        <w:docPartObj>
          <w:docPartGallery w:val="Page Numbers (Margins)"/>
          <w:docPartUnique/>
        </w:docPartObj>
      </w:sdtPr>
      <w:sdtEndPr/>
      <w:sdtContent>
        <w:r w:rsidR="00AC611F" w:rsidRPr="00AC611F">
          <w:rPr>
            <w:rFonts w:ascii="Arial Black" w:hAnsi="Arial Black"/>
            <w:b/>
            <w:bCs/>
            <w:noProof/>
            <w:sz w:val="32"/>
            <w:szCs w:val="32"/>
            <w:lang w:eastAsia="ru-RU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067CD864" wp14:editId="31F52C0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E86191D" w14:textId="4E1BC084" w:rsidR="00AC611F" w:rsidRPr="00AC611F" w:rsidRDefault="00AC611F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 w:rsidRPr="00AC611F">
                                    <w:rPr>
                                      <w:rFonts w:eastAsiaTheme="minorEastAsia"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AC611F">
                                    <w:rPr>
                                      <w:sz w:val="16"/>
                                      <w:szCs w:val="16"/>
                                    </w:rPr>
                                    <w:instrText>PAGE  \* MERGEFORMAT</w:instrText>
                                  </w:r>
                                  <w:r w:rsidRPr="00AC611F">
                                    <w:rPr>
                                      <w:rFonts w:eastAsiaTheme="minorEastAsia"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95750E" w:rsidRPr="0095750E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36"/>
                                      <w:szCs w:val="36"/>
                                    </w:rPr>
                                    <w:t>26</w:t>
                                  </w:r>
                                  <w:r w:rsidRPr="00AC611F">
                                    <w:rPr>
                                      <w:rFonts w:asciiTheme="majorHAnsi" w:eastAsiaTheme="majorEastAsia" w:hAnsiTheme="majorHAnsi" w:cstheme="majorBidi"/>
                                      <w:sz w:val="36"/>
                                      <w:szCs w:val="3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67CD864" id="Прямоугольник 2" o:spid="_x0000_s1026" style="position:absolute;left:0;text-align:left;margin-left:0;margin-top:0;width:60pt;height:70.5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7E86191D" w14:textId="4E1BC084" w:rsidR="00AC611F" w:rsidRPr="00AC611F" w:rsidRDefault="00AC611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 w:rsidRPr="00AC611F">
                              <w:rPr>
                                <w:rFonts w:eastAsiaTheme="minorEastAsia"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AC611F">
                              <w:rPr>
                                <w:sz w:val="16"/>
                                <w:szCs w:val="16"/>
                              </w:rPr>
                              <w:instrText>PAGE  \* MERGEFORMAT</w:instrText>
                            </w:r>
                            <w:r w:rsidRPr="00AC611F">
                              <w:rPr>
                                <w:rFonts w:eastAsiaTheme="minorEastAsia"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95750E" w:rsidRPr="0095750E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36"/>
                                <w:szCs w:val="36"/>
                              </w:rPr>
                              <w:t>26</w:t>
                            </w:r>
                            <w:r w:rsidRPr="00AC611F">
                              <w:rPr>
                                <w:rFonts w:asciiTheme="majorHAnsi" w:eastAsiaTheme="majorEastAsia" w:hAnsiTheme="majorHAnsi" w:cstheme="majorBidi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AC611F" w:rsidRPr="00A46EB0">
      <w:rPr>
        <w:rFonts w:ascii="Arial Black" w:hAnsi="Arial Black"/>
        <w:b/>
        <w:bCs/>
        <w:noProof/>
        <w:color w:val="FFC000" w:themeColor="accent4"/>
        <w:sz w:val="32"/>
        <w:szCs w:val="32"/>
        <w:lang w:eastAsia="ru-RU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drawing>
        <wp:anchor distT="0" distB="0" distL="0" distR="0" simplePos="0" relativeHeight="251659264" behindDoc="1" locked="0" layoutInCell="1" allowOverlap="1" wp14:anchorId="4F3B3E69" wp14:editId="5955E80C">
          <wp:simplePos x="0" y="0"/>
          <wp:positionH relativeFrom="page">
            <wp:posOffset>19685</wp:posOffset>
          </wp:positionH>
          <wp:positionV relativeFrom="margin">
            <wp:posOffset>-894715</wp:posOffset>
          </wp:positionV>
          <wp:extent cx="1670050" cy="3468370"/>
          <wp:effectExtent l="0" t="0" r="6350" b="0"/>
          <wp:wrapNone/>
          <wp:docPr id="1" name="Shap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box 2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670050" cy="346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611F" w:rsidRPr="00A46EB0">
      <w:rPr>
        <w:rFonts w:ascii="Arial Black" w:hAnsi="Arial Black"/>
        <w:b/>
        <w:bCs/>
        <w:noProof/>
        <w:color w:val="FFC000" w:themeColor="accent4"/>
        <w:sz w:val="32"/>
        <w:szCs w:val="32"/>
        <w:lang w:eastAsia="ru-RU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drawing>
        <wp:anchor distT="0" distB="0" distL="0" distR="0" simplePos="0" relativeHeight="251661312" behindDoc="1" locked="0" layoutInCell="1" allowOverlap="1" wp14:anchorId="3D9924D4" wp14:editId="0DC79358">
          <wp:simplePos x="0" y="0"/>
          <wp:positionH relativeFrom="page">
            <wp:posOffset>4089679</wp:posOffset>
          </wp:positionH>
          <wp:positionV relativeFrom="margin">
            <wp:posOffset>-899327</wp:posOffset>
          </wp:positionV>
          <wp:extent cx="3657600" cy="3291840"/>
          <wp:effectExtent l="0" t="0" r="0" b="0"/>
          <wp:wrapNone/>
          <wp:docPr id="3" name="Shap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box 4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3657600" cy="329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611F" w:rsidRPr="00A46EB0">
      <w:rPr>
        <w:rFonts w:ascii="Arial Black" w:hAnsi="Arial Black"/>
        <w:b/>
        <w:bCs/>
        <w:color w:val="FFC000" w:themeColor="accent4"/>
        <w:sz w:val="32"/>
        <w:szCs w:val="32"/>
        <w14:textFill>
          <w14:gradFill>
            <w14:gsLst>
              <w14:gs w14:pos="0">
                <w14:schemeClr w14:val="accent4">
                  <w14:shade w14:val="30000"/>
                  <w14:satMod w14:val="115000"/>
                </w14:schemeClr>
              </w14:gs>
              <w14:gs w14:pos="50000">
                <w14:schemeClr w14:val="accent4">
                  <w14:shade w14:val="67500"/>
                  <w14:satMod w14:val="115000"/>
                </w14:schemeClr>
              </w14:gs>
              <w14:gs w14:pos="100000">
                <w14:schemeClr w14:val="accent4">
                  <w14:shade w14:val="100000"/>
                  <w14:satMod w14:val="115000"/>
                </w14:schemeClr>
              </w14:gs>
            </w14:gsLst>
            <w14:path w14:path="circle">
              <w14:fillToRect w14:l="100000" w14:t="0" w14:r="0" w14:b="100000"/>
            </w14:path>
          </w14:gradFill>
        </w14:textFill>
      </w:rPr>
      <w:t>WORLD CONFERENCE ON RESEARCH INTEGRITY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E728B"/>
    <w:multiLevelType w:val="multilevel"/>
    <w:tmpl w:val="3E34E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A82481"/>
    <w:multiLevelType w:val="multilevel"/>
    <w:tmpl w:val="263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47713"/>
    <w:multiLevelType w:val="multilevel"/>
    <w:tmpl w:val="EC0C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8F4"/>
    <w:multiLevelType w:val="hybridMultilevel"/>
    <w:tmpl w:val="8B060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31B33"/>
    <w:multiLevelType w:val="multilevel"/>
    <w:tmpl w:val="7792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1215EF"/>
    <w:multiLevelType w:val="multilevel"/>
    <w:tmpl w:val="7032C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F3B93"/>
    <w:multiLevelType w:val="multilevel"/>
    <w:tmpl w:val="5778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349CC"/>
    <w:multiLevelType w:val="multilevel"/>
    <w:tmpl w:val="96CE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D86D4F"/>
    <w:multiLevelType w:val="multilevel"/>
    <w:tmpl w:val="8D20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B211FB"/>
    <w:multiLevelType w:val="multilevel"/>
    <w:tmpl w:val="2130A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592141"/>
    <w:multiLevelType w:val="multilevel"/>
    <w:tmpl w:val="0B787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A8227D"/>
    <w:multiLevelType w:val="multilevel"/>
    <w:tmpl w:val="A3EA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B650DF"/>
    <w:multiLevelType w:val="multilevel"/>
    <w:tmpl w:val="987C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B45C5B"/>
    <w:multiLevelType w:val="hybridMultilevel"/>
    <w:tmpl w:val="A22889AE"/>
    <w:lvl w:ilvl="0" w:tplc="600E66A2">
      <w:start w:val="1"/>
      <w:numFmt w:val="decimal"/>
      <w:lvlText w:val="%1."/>
      <w:lvlJc w:val="left"/>
      <w:pPr>
        <w:ind w:left="600" w:hanging="360"/>
      </w:pPr>
    </w:lvl>
    <w:lvl w:ilvl="1" w:tplc="C686862E">
      <w:numFmt w:val="decimal"/>
      <w:lvlText w:val=""/>
      <w:lvlJc w:val="left"/>
    </w:lvl>
    <w:lvl w:ilvl="2" w:tplc="34C84296">
      <w:numFmt w:val="decimal"/>
      <w:lvlText w:val=""/>
      <w:lvlJc w:val="left"/>
    </w:lvl>
    <w:lvl w:ilvl="3" w:tplc="C032D0FA">
      <w:numFmt w:val="decimal"/>
      <w:lvlText w:val=""/>
      <w:lvlJc w:val="left"/>
    </w:lvl>
    <w:lvl w:ilvl="4" w:tplc="81FADA50">
      <w:numFmt w:val="decimal"/>
      <w:lvlText w:val=""/>
      <w:lvlJc w:val="left"/>
    </w:lvl>
    <w:lvl w:ilvl="5" w:tplc="C3A89014">
      <w:numFmt w:val="decimal"/>
      <w:lvlText w:val=""/>
      <w:lvlJc w:val="left"/>
    </w:lvl>
    <w:lvl w:ilvl="6" w:tplc="D3560806">
      <w:numFmt w:val="decimal"/>
      <w:lvlText w:val=""/>
      <w:lvlJc w:val="left"/>
    </w:lvl>
    <w:lvl w:ilvl="7" w:tplc="4C8E3E82">
      <w:numFmt w:val="decimal"/>
      <w:lvlText w:val=""/>
      <w:lvlJc w:val="left"/>
    </w:lvl>
    <w:lvl w:ilvl="8" w:tplc="6F16213E">
      <w:numFmt w:val="decimal"/>
      <w:lvlText w:val=""/>
      <w:lvlJc w:val="left"/>
    </w:lvl>
  </w:abstractNum>
  <w:abstractNum w:abstractNumId="14" w15:restartNumberingAfterBreak="0">
    <w:nsid w:val="76143AF3"/>
    <w:multiLevelType w:val="hybridMultilevel"/>
    <w:tmpl w:val="820EB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B21AF"/>
    <w:multiLevelType w:val="multilevel"/>
    <w:tmpl w:val="C4F8E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2B3D9F"/>
    <w:multiLevelType w:val="multilevel"/>
    <w:tmpl w:val="5B009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14"/>
  </w:num>
  <w:num w:numId="4">
    <w:abstractNumId w:val="4"/>
  </w:num>
  <w:num w:numId="5">
    <w:abstractNumId w:val="12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16"/>
  </w:num>
  <w:num w:numId="11">
    <w:abstractNumId w:val="0"/>
  </w:num>
  <w:num w:numId="12">
    <w:abstractNumId w:val="5"/>
  </w:num>
  <w:num w:numId="13">
    <w:abstractNumId w:val="6"/>
  </w:num>
  <w:num w:numId="14">
    <w:abstractNumId w:val="7"/>
  </w:num>
  <w:num w:numId="15">
    <w:abstractNumId w:val="15"/>
  </w:num>
  <w:num w:numId="16">
    <w:abstractNumId w:val="9"/>
  </w:num>
  <w:num w:numId="17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11F"/>
    <w:rsid w:val="000A792F"/>
    <w:rsid w:val="000C1A66"/>
    <w:rsid w:val="00142AB3"/>
    <w:rsid w:val="001B4D0A"/>
    <w:rsid w:val="002E20C6"/>
    <w:rsid w:val="002F3EBE"/>
    <w:rsid w:val="003028F2"/>
    <w:rsid w:val="003037DC"/>
    <w:rsid w:val="00353250"/>
    <w:rsid w:val="004A1CBE"/>
    <w:rsid w:val="004B3599"/>
    <w:rsid w:val="0055623B"/>
    <w:rsid w:val="00567DEA"/>
    <w:rsid w:val="005D4863"/>
    <w:rsid w:val="0066533F"/>
    <w:rsid w:val="0069371B"/>
    <w:rsid w:val="006B451B"/>
    <w:rsid w:val="0070094C"/>
    <w:rsid w:val="0074192D"/>
    <w:rsid w:val="007B2765"/>
    <w:rsid w:val="007E642D"/>
    <w:rsid w:val="00866A7B"/>
    <w:rsid w:val="0093659B"/>
    <w:rsid w:val="0095750E"/>
    <w:rsid w:val="00991E9A"/>
    <w:rsid w:val="009E51BD"/>
    <w:rsid w:val="00A26F88"/>
    <w:rsid w:val="00A46EB0"/>
    <w:rsid w:val="00A62589"/>
    <w:rsid w:val="00A94583"/>
    <w:rsid w:val="00AC611F"/>
    <w:rsid w:val="00B163F0"/>
    <w:rsid w:val="00BA67A3"/>
    <w:rsid w:val="00BC431D"/>
    <w:rsid w:val="00BF028D"/>
    <w:rsid w:val="00C46746"/>
    <w:rsid w:val="00C61A84"/>
    <w:rsid w:val="00D16DAA"/>
    <w:rsid w:val="00D7177D"/>
    <w:rsid w:val="00E6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BDD45"/>
  <w15:chartTrackingRefBased/>
  <w15:docId w15:val="{4301D1AC-385E-404B-93B3-3E849467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42D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028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64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611F"/>
  </w:style>
  <w:style w:type="paragraph" w:styleId="a5">
    <w:name w:val="footer"/>
    <w:basedOn w:val="a"/>
    <w:link w:val="a6"/>
    <w:uiPriority w:val="99"/>
    <w:unhideWhenUsed/>
    <w:rsid w:val="00AC6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611F"/>
  </w:style>
  <w:style w:type="paragraph" w:styleId="a7">
    <w:name w:val="List Paragraph"/>
    <w:aliases w:val="List Paragraph1,Table/Figure Heading,En tête 1,List Paragraph (numbered (a)),Lapis Bulleted List,Dot pt,F5 List Paragraph,No Spacing1,List Paragraph Char Char Char,Indicator Text,Numbered Para 1,Bullet 1,List Paragraph12,Bullet Points,L"/>
    <w:basedOn w:val="a"/>
    <w:link w:val="a8"/>
    <w:uiPriority w:val="34"/>
    <w:qFormat/>
    <w:rsid w:val="000C1A6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C1A66"/>
    <w:rPr>
      <w:color w:val="0563C1" w:themeColor="hyperlink"/>
      <w:u w:val="single"/>
    </w:rPr>
  </w:style>
  <w:style w:type="character" w:customStyle="1" w:styleId="a8">
    <w:name w:val="Абзац списка Знак"/>
    <w:aliases w:val="List Paragraph1 Знак,Table/Figure Heading Знак,En tête 1 Знак,List Paragraph (numbered (a)) Знак,Lapis Bulleted List Знак,Dot pt Знак,F5 List Paragraph Знак,No Spacing1 Знак,List Paragraph Char Char Char Знак,Indicator Text Знак,L Знак"/>
    <w:link w:val="a7"/>
    <w:uiPriority w:val="1"/>
    <w:qFormat/>
    <w:rsid w:val="000C1A66"/>
    <w:rPr>
      <w:lang w:val="ru-RU"/>
    </w:rPr>
  </w:style>
  <w:style w:type="paragraph" w:styleId="aa">
    <w:name w:val="Normal (Web)"/>
    <w:basedOn w:val="a"/>
    <w:uiPriority w:val="99"/>
    <w:unhideWhenUsed/>
    <w:rsid w:val="001B4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1B4D0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E642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styleId="ac">
    <w:name w:val="Table Grid"/>
    <w:basedOn w:val="a1"/>
    <w:uiPriority w:val="59"/>
    <w:rsid w:val="007E642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a0"/>
    <w:rsid w:val="007E642D"/>
  </w:style>
  <w:style w:type="character" w:customStyle="1" w:styleId="math-inline">
    <w:name w:val="math-inline"/>
    <w:basedOn w:val="a0"/>
    <w:rsid w:val="007B2765"/>
  </w:style>
  <w:style w:type="character" w:customStyle="1" w:styleId="20">
    <w:name w:val="Заголовок 2 Знак"/>
    <w:basedOn w:val="a0"/>
    <w:link w:val="2"/>
    <w:uiPriority w:val="9"/>
    <w:semiHidden/>
    <w:rsid w:val="003037D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3028F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styleId="ad">
    <w:name w:val="Unresolved Mention"/>
    <w:basedOn w:val="a0"/>
    <w:uiPriority w:val="99"/>
    <w:semiHidden/>
    <w:unhideWhenUsed/>
    <w:rsid w:val="00A26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5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92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38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84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9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Gaybullaev Sher</dc:creator>
  <cp:keywords/>
  <dc:description/>
  <cp:lastModifiedBy>Nodirabegim Amanova</cp:lastModifiedBy>
  <cp:revision>2</cp:revision>
  <cp:lastPrinted>2026-06-17T15:56:00Z</cp:lastPrinted>
  <dcterms:created xsi:type="dcterms:W3CDTF">2026-06-19T11:46:00Z</dcterms:created>
  <dcterms:modified xsi:type="dcterms:W3CDTF">2026-06-19T11:46:00Z</dcterms:modified>
</cp:coreProperties>
</file>